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HIS 0250 – </w:t>
      </w: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História Antiga 1</w:t>
      </w:r>
    </w:p>
    <w:p w14:paraId="00000002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Os gregos antigos</w:t>
      </w:r>
    </w:p>
    <w:p w14:paraId="00000003" w14:textId="61C62F23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5A4E15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5A4E15">
        <w:rPr>
          <w:rFonts w:ascii="Times New Roman" w:eastAsia="Times New Roman" w:hAnsi="Times New Roman" w:cs="Times New Roman"/>
          <w:b/>
          <w:sz w:val="24"/>
          <w:szCs w:val="24"/>
        </w:rPr>
        <w:t>1</w:t>
      </w:r>
    </w:p>
    <w:p w14:paraId="00000004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9E3573" w:rsidRDefault="006A6C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de Brasília, Instituto de Humanidades, Departamento de História</w:t>
      </w:r>
    </w:p>
    <w:p w14:paraId="00000006" w14:textId="77777777" w:rsidR="009E3573" w:rsidRDefault="009E35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77777777" w:rsidR="009E3573" w:rsidRDefault="006A6C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Horário</w:t>
      </w:r>
      <w:r>
        <w:rPr>
          <w:rFonts w:ascii="Times New Roman" w:eastAsia="Times New Roman" w:hAnsi="Times New Roman" w:cs="Times New Roman"/>
          <w:sz w:val="24"/>
          <w:szCs w:val="24"/>
        </w:rPr>
        <w:t>: ter qui, 08:00-09:50</w:t>
      </w:r>
    </w:p>
    <w:p w14:paraId="00000008" w14:textId="015DC0CC" w:rsidR="009E3573" w:rsidRDefault="006A6C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Turma </w:t>
      </w:r>
      <w:r w:rsidR="0047382F">
        <w:rPr>
          <w:rFonts w:ascii="Times New Roman" w:eastAsia="Times New Roman" w:hAnsi="Times New Roman" w:cs="Times New Roman"/>
          <w:sz w:val="24"/>
          <w:szCs w:val="24"/>
        </w:rPr>
        <w:t>01</w:t>
      </w:r>
    </w:p>
    <w:p w14:paraId="00000009" w14:textId="77777777" w:rsidR="009E3573" w:rsidRDefault="006A6C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Sala: PJC 085 (cf. SIGAA)</w:t>
      </w:r>
    </w:p>
    <w:p w14:paraId="0000000A" w14:textId="77777777" w:rsidR="009E3573" w:rsidRDefault="009E357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77777777" w:rsidR="009E3573" w:rsidRDefault="006A6CC3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Prof. Vicente Dobroruka</w:t>
      </w:r>
    </w:p>
    <w:p w14:paraId="0000000C" w14:textId="77777777" w:rsidR="009E3573" w:rsidRDefault="0092277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6">
        <w:r w:rsidR="006A6CC3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vicente@unb.br</w:t>
        </w:r>
      </w:hyperlink>
    </w:p>
    <w:p w14:paraId="0000000D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E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Ementa</w:t>
      </w:r>
    </w:p>
    <w:p w14:paraId="0000000F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Introdução ao estudo da sociedade e cultura da Grécia antiga. Análise das relações entre o surgimento do pensamento racional e a pólis. O processo de Sócrates é o eixo condutor dos diversos problemas abordados no curso.</w:t>
      </w:r>
    </w:p>
    <w:p w14:paraId="00000010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1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Descrição e objetivos</w:t>
      </w:r>
    </w:p>
    <w:p w14:paraId="00000012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 curso se apresenta como uma introdução ao mundo grego antigo, do período micênico até as últimas guerras seguintes à Guerra do Peloponeso. Os principais temas debatidos incluem a análise do mundo que a epopéia homérica nos apresenta, seguidos da formação da pólis, do surgimento do pensamento racional clássico e das relações que se podem estabelecer, no caso ateniense, entre democracia interna, imperialismo externo. O processo de Sócrates é entendido como eixo deste curso por ser caso típico a partir do qual podemos analisar as formas de pensar políadas (filosofia e sofística) e as disciplinas indiciárias que surgem com o desenvolvimento do pensamento racional grego (medicina, direito e historiografia). Cronologicamente, o curso se inicia com as indefinições do mundo de Homero, passando por Sólon (aprox. 560 AEC) e terminando com a hegemonia tebana na Batalha de Leuctra (371 AEC).</w:t>
      </w:r>
    </w:p>
    <w:p w14:paraId="00000013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Metodologia</w:t>
      </w:r>
    </w:p>
    <w:p w14:paraId="00000015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 curso se oferece sob três formas, quanto ao acesso: 1) aulas expositivas e com a participação dos alunos, sempre que se manifestarem; 2) a bibliografia básica e complementar; 3) os recursos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online </w:t>
      </w:r>
      <w:r>
        <w:rPr>
          <w:rFonts w:ascii="Times New Roman" w:eastAsia="Times New Roman" w:hAnsi="Times New Roman" w:cs="Times New Roman"/>
          <w:sz w:val="24"/>
          <w:szCs w:val="24"/>
        </w:rPr>
        <w:t>propiciados aos discentes.</w:t>
      </w:r>
    </w:p>
    <w:p w14:paraId="00000016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As aulas terão a duração aproximada de 1:30, ao que se somam 20 min. para as intervenções dos alunos e respostas do professor, sempre que estas ocorrerem. Podem ocorrer variações nessa disposição sempre que necessário.</w:t>
      </w:r>
    </w:p>
    <w:p w14:paraId="00000017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Recomenda-se, além da frequência às aulas, que o aluno anote tudo o que julgar pertinente em caderno próprio ou na mídia que lhe parecer mais conveniente.</w:t>
      </w:r>
    </w:p>
    <w:p w14:paraId="00000018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Bibliografia</w:t>
      </w:r>
    </w:p>
    <w:p w14:paraId="0000001A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Básica</w:t>
      </w:r>
    </w:p>
    <w:p w14:paraId="0000001B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Ferreira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José 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Grécia Antiga. Sociedade e Política</w:t>
      </w:r>
      <w:r>
        <w:rPr>
          <w:rFonts w:ascii="Times New Roman" w:eastAsia="Times New Roman" w:hAnsi="Times New Roman" w:cs="Times New Roman"/>
          <w:sz w:val="24"/>
          <w:szCs w:val="24"/>
        </w:rPr>
        <w:t>. Lisboa: Edições 70, 2004.</w:t>
      </w:r>
    </w:p>
    <w:p w14:paraId="0000001C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5A4E15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Finley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Moses. </w:t>
      </w:r>
      <w:r w:rsidRPr="005A4E1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Economy and Society in Ancient Greece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London: Chatto &amp; Windus, 1981.</w:t>
      </w:r>
    </w:p>
    <w:p w14:paraId="0000001D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-______.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legado da Grécia</w:t>
      </w:r>
      <w:r>
        <w:rPr>
          <w:rFonts w:ascii="Times New Roman" w:eastAsia="Times New Roman" w:hAnsi="Times New Roman" w:cs="Times New Roman"/>
          <w:sz w:val="24"/>
          <w:szCs w:val="24"/>
        </w:rPr>
        <w:t>. Brasília: EDUnB, 1998.</w:t>
      </w:r>
    </w:p>
    <w:p w14:paraId="0000001E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Morris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Ian e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Powell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Barry. </w:t>
      </w:r>
      <w:r w:rsidRPr="005A4E1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The Greeks. History, Culture and Society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Harlow: Pearson, 2014.</w:t>
      </w:r>
    </w:p>
    <w:p w14:paraId="0000001F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Complementar</w:t>
      </w:r>
    </w:p>
    <w:p w14:paraId="00000021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Austin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Michel e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Vidal-Naquet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Pierre. “A Atenas clássica” e “As cidades gregas e os problemas econômicos” 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Economia e sociedade na Grécia antiga</w:t>
      </w:r>
      <w:r>
        <w:rPr>
          <w:rFonts w:ascii="Times New Roman" w:eastAsia="Times New Roman" w:hAnsi="Times New Roman" w:cs="Times New Roman"/>
          <w:sz w:val="24"/>
          <w:szCs w:val="24"/>
        </w:rPr>
        <w:t>. Lisboa: Edições 70, 1976.</w:t>
      </w:r>
    </w:p>
    <w:p w14:paraId="00000022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Erbse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Hartmut. “Xenophon’s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Anabasis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in: 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Gray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Vivienne (ed.).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Xenophon</w:t>
      </w:r>
      <w:r>
        <w:rPr>
          <w:rFonts w:ascii="Times New Roman" w:eastAsia="Times New Roman" w:hAnsi="Times New Roman" w:cs="Times New Roman"/>
          <w:sz w:val="24"/>
          <w:szCs w:val="24"/>
        </w:rPr>
        <w:t>. New York: Oxford University Press, 2010.</w:t>
      </w:r>
    </w:p>
    <w:p w14:paraId="00000023" w14:textId="77777777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Finley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Moses. “Homero e os gregos”, “Aedos e heróis” e “Riqueza e trabalho” 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mundo de Ulisses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Lisboa: Editorial Presença, /s.d./</w:t>
      </w:r>
    </w:p>
    <w:p w14:paraId="00000024" w14:textId="77777777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-______. “Socrates and After” in: </w:t>
      </w:r>
      <w:r w:rsidRPr="005A4E1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Democracy Ancient and Modern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. New Brunswick / Camden / Newark: Rutgers University Press, 1985.</w:t>
      </w:r>
    </w:p>
    <w:p w14:paraId="00000025" w14:textId="77777777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-______. “Introdução: desesperadamente estrangeiro” 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Aspectos da Antiguidade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São Paulo: Martins Fontes, 1991.</w:t>
      </w:r>
    </w:p>
    <w:p w14:paraId="00000026" w14:textId="77777777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5A4E15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Gray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Vivienne. “Introduction” in: </w:t>
      </w:r>
      <w:r w:rsidRPr="005A4E15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Gray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Vivienne (ed.). </w:t>
      </w:r>
      <w:r w:rsidRPr="005A4E1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Xenophon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. New York: Oxford University Press, 2010.</w:t>
      </w:r>
    </w:p>
    <w:p w14:paraId="00000027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5A4E15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Handley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Eric W. “Comedy” in: </w:t>
      </w:r>
      <w:r w:rsidRPr="005A4E15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Easterling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Patricia E. e </w:t>
      </w:r>
      <w:r w:rsidRPr="005A4E15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Knox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Bernard M. W. (eds.). </w:t>
      </w:r>
      <w:r w:rsidRPr="005A4E1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The Cambridge History of Classical Literature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Vol.I. Greek Literature. </w:t>
      </w:r>
      <w:r>
        <w:rPr>
          <w:rFonts w:ascii="Times New Roman" w:eastAsia="Times New Roman" w:hAnsi="Times New Roman" w:cs="Times New Roman"/>
          <w:sz w:val="24"/>
          <w:szCs w:val="24"/>
        </w:rPr>
        <w:t>Cambridge: Cambridge University Press, 2008.</w:t>
      </w:r>
    </w:p>
    <w:p w14:paraId="00000028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Havelock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Eric. “O oral e o escrito: uma reconsideração” e “Os pré-socráticos e a cultura pré-letrada” 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 revolução da escrita na Grécia e suas consequências culturais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São Paulo 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 Rio de Janeiro: UNESP / Paz e Terra, 1996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9" w14:textId="77777777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D35C08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D35C08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Luce</w:t>
      </w:r>
      <w:r w:rsidRPr="00D35C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Terry J. “Before History”, “Herodotus and Historia” e “Father of History” in: </w:t>
      </w:r>
      <w:r w:rsidRPr="00D35C08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The Greek Historians</w:t>
      </w:r>
      <w:r w:rsidRPr="00D35C08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London / New York: Routledge, 1997.</w:t>
      </w:r>
    </w:p>
    <w:p w14:paraId="0000002A" w14:textId="77777777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5A4E15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Momigliano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Arnaldo. “The fault of the Greeks” e “Time in ancient historiography” in: </w:t>
      </w:r>
      <w:r w:rsidRPr="005A4E1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Essays in Ancient and Modern Historiography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. Middletown: Wesleyan University Press, 1987.</w:t>
      </w:r>
    </w:p>
    <w:p w14:paraId="0000002B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5A4E15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Morales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Helen. </w:t>
      </w:r>
      <w:r w:rsidRPr="005A4E1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Classical Mythology – A Very Short Introduction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Oxford: Oxford University Press, 2007.</w:t>
      </w:r>
    </w:p>
    <w:p w14:paraId="0000002C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Mossé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Claude.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 processo de Sócrates</w:t>
      </w:r>
      <w:r>
        <w:rPr>
          <w:rFonts w:ascii="Times New Roman" w:eastAsia="Times New Roman" w:hAnsi="Times New Roman" w:cs="Times New Roman"/>
          <w:sz w:val="24"/>
          <w:szCs w:val="24"/>
        </w:rPr>
        <w:t>. Rio de Janeiro: Jorge Zahar Editor, 1989.</w:t>
      </w:r>
    </w:p>
    <w:p w14:paraId="0000002D" w14:textId="77777777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-______. “O pós-guerra: revolução e restauração” 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Atenas: a história de uma democracia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Brasília: EDUnB, 1997.</w:t>
      </w:r>
    </w:p>
    <w:p w14:paraId="0000002E" w14:textId="77777777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5A4E15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Poole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Adrian. </w:t>
      </w:r>
      <w:r w:rsidRPr="005A4E1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Tragedy – A Very Short Introduction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. Oxford: Oxford University Press, 2005.</w:t>
      </w:r>
    </w:p>
    <w:p w14:paraId="0000002F" w14:textId="77777777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5A4E15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Romilly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Jacqueline de. “Richly endowed” e “Insults and scandals” in: </w:t>
      </w:r>
      <w:r w:rsidRPr="005A4E1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The Life of Alcibiades. Dangerous Ambition and the Betrayal of Athens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. Ithaca / London: Cornell University Press, 2019.</w:t>
      </w:r>
    </w:p>
    <w:p w14:paraId="00000030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5A4E15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Sienkewicz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, Thomas J (ed.). “Education and Training” in:</w:t>
      </w:r>
      <w:r w:rsidRPr="005A4E1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 xml:space="preserve"> Ancient Greece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Vol.2. Hackensack: Salem Press, 2007.</w:t>
      </w:r>
    </w:p>
    <w:p w14:paraId="00000031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Vernant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Jean-Pierre. “Introdução”, “A crise da soberania” e “O universo espiritual da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polis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” 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origens do pensamento grego</w:t>
      </w:r>
      <w:r>
        <w:rPr>
          <w:rFonts w:ascii="Times New Roman" w:eastAsia="Times New Roman" w:hAnsi="Times New Roman" w:cs="Times New Roman"/>
          <w:sz w:val="24"/>
          <w:szCs w:val="24"/>
        </w:rPr>
        <w:t>. Rio de Janeiro: DIFEL, 2002.</w:t>
      </w:r>
    </w:p>
    <w:p w14:paraId="00000032" w14:textId="77777777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Veyne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Paul. “Os gregos conheceram a democracia?” in: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Diógenes</w:t>
      </w:r>
      <w:r>
        <w:rPr>
          <w:rFonts w:ascii="Times New Roman" w:eastAsia="Times New Roman" w:hAnsi="Times New Roman" w:cs="Times New Roman"/>
          <w:sz w:val="24"/>
          <w:szCs w:val="24"/>
        </w:rPr>
        <w:t>, n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.6. 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Brasília, EDUnB, 1983.</w:t>
      </w:r>
    </w:p>
    <w:p w14:paraId="00000033" w14:textId="77777777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-</w:t>
      </w:r>
      <w:r w:rsidRPr="005A4E15">
        <w:rPr>
          <w:rFonts w:ascii="Times New Roman" w:eastAsia="Times New Roman" w:hAnsi="Times New Roman" w:cs="Times New Roman"/>
          <w:smallCaps/>
          <w:sz w:val="24"/>
          <w:szCs w:val="24"/>
          <w:lang w:val="en-GB"/>
        </w:rPr>
        <w:t>Zagorin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 xml:space="preserve">, Perez. “Thucydides’ History and its Background”, “The Subject, Method and Structure of Thucydides’ History” e “Thucydides as a Philosophic Historian” in: </w:t>
      </w:r>
      <w:r w:rsidRPr="005A4E15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Thucydides. An Introduction for the Common Reader</w:t>
      </w:r>
      <w:r w:rsidRPr="005A4E15">
        <w:rPr>
          <w:rFonts w:ascii="Times New Roman" w:eastAsia="Times New Roman" w:hAnsi="Times New Roman" w:cs="Times New Roman"/>
          <w:sz w:val="24"/>
          <w:szCs w:val="24"/>
          <w:lang w:val="en-GB"/>
        </w:rPr>
        <w:t>. Princeton / Oxford: Princeton University Press, 2005.</w:t>
      </w:r>
    </w:p>
    <w:p w14:paraId="00000034" w14:textId="77777777" w:rsidR="009E3573" w:rsidRPr="005A4E15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14:paraId="00000035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Fontes</w:t>
      </w:r>
    </w:p>
    <w:p w14:paraId="00000036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Aristófanes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nuvens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7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-______.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As rãs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8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Aristóteles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Poética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9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-______.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Constituição dos atenienses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A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Eurípides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Medéia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B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Heródoto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Histórias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C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Hesíodo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Os trabalhos e os dias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D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Homero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Ilíada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E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-______.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Odisséia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3F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Platão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(diversos diálogos conforme a aula)</w:t>
      </w:r>
    </w:p>
    <w:p w14:paraId="00000040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Plutarco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Vidas paralelas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1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Pseudo-Xenofonte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Constituição dos atenienses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2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Tucídides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História da Guerra do Peloponeso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3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Xenofonte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Econômico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4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-______.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Helênicas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5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-______.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Memoráveis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46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47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Recursos </w:t>
      </w:r>
      <w:r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além dos fornecidos pelo professor</w:t>
      </w:r>
    </w:p>
    <w:p w14:paraId="00000048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Perseus Digital Library (fontes traduzidas):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http:</w:t>
        </w:r>
      </w:hyperlink>
      <w:hyperlink r:id="rId8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//www.perseus.tufts.edu/hopper/</w:t>
        </w:r>
      </w:hyperlink>
    </w:p>
    <w:p w14:paraId="00000049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2. Loeb Classical Library (fontes no original e traduzidas):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http://www.loebclassics.com/</w:t>
        </w:r>
      </w:hyperlink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(acessíveis quase sempre no site da Perseus Digital Library)</w:t>
      </w:r>
    </w:p>
    <w:p w14:paraId="0000004A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3. Livius (artigos diversos sobre o mundo grego antigo: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http://www.livius.org/category/greece</w:t>
        </w:r>
      </w:hyperlink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</w:t>
      </w:r>
    </w:p>
    <w:p w14:paraId="0000004B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4C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mallCaps/>
          <w:color w:val="0C0D0E"/>
          <w:sz w:val="24"/>
          <w:szCs w:val="24"/>
          <w:highlight w:val="white"/>
        </w:rPr>
        <w:t>Sistema de avaliação</w:t>
      </w:r>
    </w:p>
    <w:p w14:paraId="0000004D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Os alunos farão duas provas ao longo do período letivo, a primeira valendo cinco pontos e a segunda também cinco pontos. A nota final será, portanto, a soma da nota 1 com a nota 2, totalizando dez pontos possíveis.</w:t>
      </w:r>
    </w:p>
    <w:p w14:paraId="0000004E" w14:textId="77777777" w:rsidR="009E3573" w:rsidRDefault="009E3573">
      <w:pPr>
        <w:spacing w:line="360" w:lineRule="auto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4F" w14:textId="77777777" w:rsidR="009E3573" w:rsidRDefault="006A6CC3">
      <w:pPr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mallCaps/>
          <w:color w:val="0C0D0E"/>
          <w:sz w:val="24"/>
          <w:szCs w:val="24"/>
          <w:highlight w:val="white"/>
        </w:rPr>
        <w:t>Cronograma do curso</w:t>
      </w:r>
    </w:p>
    <w:p w14:paraId="00000050" w14:textId="4B720E9E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01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): Introdução ao curso, com entrega do programa e comentário ao mesmo pelo professor</w:t>
      </w:r>
    </w:p>
    <w:p w14:paraId="00000051" w14:textId="48352AA4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5A4E15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s-ES"/>
        </w:rPr>
        <w:t>Aula 02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(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27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03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): Finley (1991)</w:t>
      </w:r>
    </w:p>
    <w:p w14:paraId="00000052" w14:textId="77777777" w:rsidR="009E3573" w:rsidRPr="005A4E15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</w:p>
    <w:p w14:paraId="00000053" w14:textId="7C8A6661" w:rsidR="009E3573" w:rsidRPr="005A4E15" w:rsidRDefault="006A6CC3">
      <w:pPr>
        <w:tabs>
          <w:tab w:val="left" w:pos="851"/>
        </w:tabs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2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  <w:lang w:val="es-ES"/>
        </w:rPr>
        <w:t>a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. semana (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01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04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– 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03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04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)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s-ES"/>
        </w:rPr>
        <w:t>Aula 03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(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01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04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): Finley (/s.d./)</w:t>
      </w:r>
    </w:p>
    <w:p w14:paraId="00000054" w14:textId="35EE2454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04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): Vernant (1992)</w:t>
      </w:r>
    </w:p>
    <w:p w14:paraId="00000055" w14:textId="77777777" w:rsidR="009E3573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56" w14:textId="7EC5400D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3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08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08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): Vernant (1992)</w:t>
      </w:r>
    </w:p>
    <w:p w14:paraId="00000057" w14:textId="1C3B2AE1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06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): Exercício de revisão 01</w:t>
      </w:r>
    </w:p>
    <w:p w14:paraId="00000058" w14:textId="77777777" w:rsidR="009E3573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59" w14:textId="13E01339" w:rsidR="009E3573" w:rsidRPr="008B69D4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</w:pP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4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  <w:lang w:val="en-GB"/>
        </w:rPr>
        <w:t>a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. semana (</w:t>
      </w:r>
      <w:r w:rsidR="008B69D4"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15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– </w:t>
      </w:r>
      <w:r w:rsidR="008B69D4"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17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8B69D4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n-GB"/>
        </w:rPr>
        <w:t>Aula 07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8B69D4"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15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): Havelock (1996)</w:t>
      </w:r>
    </w:p>
    <w:p w14:paraId="0000005A" w14:textId="6C371C18" w:rsidR="009E3573" w:rsidRPr="00D35C08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</w:pP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ab/>
      </w:r>
      <w:r w:rsidRPr="00D35C08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n-GB"/>
        </w:rPr>
        <w:t>Aula 08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 xml:space="preserve"> (</w:t>
      </w:r>
      <w:r w:rsidR="008B69D4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17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/</w:t>
      </w:r>
      <w:r w:rsidR="008B69D4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04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n-GB"/>
        </w:rPr>
        <w:t>): Havelock (1996)</w:t>
      </w:r>
    </w:p>
    <w:p w14:paraId="0000005B" w14:textId="77777777" w:rsidR="009E3573" w:rsidRPr="00D35C08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n-GB"/>
        </w:rPr>
      </w:pPr>
    </w:p>
    <w:p w14:paraId="0000005C" w14:textId="3D093212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22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09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22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="008B69D4"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Havelock (1996)</w:t>
      </w:r>
    </w:p>
    <w:p w14:paraId="0000005D" w14:textId="2BE9561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10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Morales (2007)</w:t>
      </w:r>
    </w:p>
    <w:p w14:paraId="0000005E" w14:textId="77777777" w:rsidR="009E3573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5F" w14:textId="438939D3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6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29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11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29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04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): Austin e Vidal-Naquet (1986)</w:t>
      </w:r>
    </w:p>
    <w:p w14:paraId="00000060" w14:textId="4E910FEB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5A4E15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s-ES"/>
        </w:rPr>
        <w:t>Aula 12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05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): Poole (2005)</w:t>
      </w:r>
    </w:p>
    <w:p w14:paraId="00000061" w14:textId="77777777" w:rsidR="009E3573" w:rsidRPr="005A4E15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</w:p>
    <w:p w14:paraId="00000062" w14:textId="03734F96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7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  <w:lang w:val="es-ES"/>
        </w:rPr>
        <w:t>a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. semana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08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05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– 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13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05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)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s-ES"/>
        </w:rPr>
        <w:t>Aula 13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08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05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): </w:t>
      </w:r>
      <w:r w:rsidRPr="005A4E15">
        <w:rPr>
          <w:rFonts w:ascii="Times New Roman" w:eastAsia="Times New Roman" w:hAnsi="Times New Roman" w:cs="Times New Roman"/>
          <w:sz w:val="24"/>
          <w:szCs w:val="24"/>
          <w:highlight w:val="white"/>
          <w:lang w:val="es-ES"/>
        </w:rPr>
        <w:t>Handley (2008)</w:t>
      </w:r>
    </w:p>
    <w:p w14:paraId="00000063" w14:textId="1AF95722" w:rsidR="009E3573" w:rsidRPr="008B69D4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8B69D4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14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13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 w:rsidRP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): Veyne (1983)</w:t>
      </w:r>
    </w:p>
    <w:p w14:paraId="00000064" w14:textId="77777777" w:rsidR="009E3573" w:rsidRPr="008B69D4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65" w14:textId="70890829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8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20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15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): Mossé (1997)</w:t>
      </w:r>
    </w:p>
    <w:p w14:paraId="00000066" w14:textId="556BBCE3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16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20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): Finley (1985); Exercício de revisão</w:t>
      </w:r>
      <w:r w:rsid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</w:t>
      </w:r>
      <w:bookmarkStart w:id="1" w:name="_GoBack"/>
      <w:bookmarkEnd w:id="1"/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</w:t>
      </w:r>
    </w:p>
    <w:p w14:paraId="00000067" w14:textId="77777777" w:rsidR="009E3573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68" w14:textId="5597DE22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9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22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17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22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): Discussão dos exercícios de revisão 01 e 02</w:t>
      </w:r>
    </w:p>
    <w:p w14:paraId="00000069" w14:textId="4C973382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18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): Prova 01</w:t>
      </w:r>
    </w:p>
    <w:p w14:paraId="0000006A" w14:textId="77777777" w:rsidR="009E3573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6B" w14:textId="2A19D8EE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10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29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06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 xml:space="preserve">Aula 19 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29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): Devolução da prova e comentário</w:t>
      </w:r>
    </w:p>
    <w:p w14:paraId="0000006C" w14:textId="39C66919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5A4E15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s-ES"/>
        </w:rPr>
        <w:t>Aula 20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03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): Mossé (1989)</w:t>
      </w:r>
    </w:p>
    <w:p w14:paraId="0000006D" w14:textId="77777777" w:rsidR="009E3573" w:rsidRPr="005A4E15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</w:p>
    <w:p w14:paraId="0000006E" w14:textId="197D02C3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s-ES"/>
        </w:rPr>
      </w:pP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11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  <w:lang w:val="es-ES"/>
        </w:rPr>
        <w:t>a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. semana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05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– 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10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)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s-ES"/>
        </w:rPr>
        <w:t>Aula 21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05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): </w:t>
      </w:r>
      <w:r w:rsidRPr="005A4E15">
        <w:rPr>
          <w:rFonts w:ascii="Times New Roman" w:eastAsia="Times New Roman" w:hAnsi="Times New Roman" w:cs="Times New Roman"/>
          <w:sz w:val="24"/>
          <w:szCs w:val="24"/>
          <w:highlight w:val="white"/>
          <w:lang w:val="es-ES"/>
        </w:rPr>
        <w:t>Sienkewicz (2007)</w:t>
      </w:r>
    </w:p>
    <w:p w14:paraId="0000006F" w14:textId="5C0BB689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s-ES"/>
        </w:rPr>
        <w:t>Aula 22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10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): Momigliano (1987); Romilly (2019)</w:t>
      </w:r>
    </w:p>
    <w:p w14:paraId="00000070" w14:textId="77777777" w:rsidR="009E3573" w:rsidRPr="005A4E15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</w:p>
    <w:p w14:paraId="00000071" w14:textId="61870E31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val="es-ES"/>
        </w:rPr>
      </w:pP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12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  <w:lang w:val="es-ES"/>
        </w:rPr>
        <w:t>a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. semana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12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– 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17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)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s-ES"/>
        </w:rPr>
        <w:t>Aula 23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12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): </w:t>
      </w:r>
      <w:r w:rsidRPr="005A4E15">
        <w:rPr>
          <w:rFonts w:ascii="Times New Roman" w:eastAsia="Times New Roman" w:hAnsi="Times New Roman" w:cs="Times New Roman"/>
          <w:sz w:val="24"/>
          <w:szCs w:val="24"/>
          <w:highlight w:val="white"/>
          <w:lang w:val="es-ES"/>
        </w:rPr>
        <w:t>Luce (1997)</w:t>
      </w:r>
    </w:p>
    <w:p w14:paraId="00000072" w14:textId="5487F1F6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s-ES"/>
        </w:rPr>
        <w:t>Aula 24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17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): </w:t>
      </w:r>
      <w:r w:rsidRPr="005A4E15">
        <w:rPr>
          <w:rFonts w:ascii="Times New Roman" w:eastAsia="Times New Roman" w:hAnsi="Times New Roman" w:cs="Times New Roman"/>
          <w:sz w:val="24"/>
          <w:szCs w:val="24"/>
          <w:highlight w:val="white"/>
          <w:lang w:val="es-ES"/>
        </w:rPr>
        <w:t>Luce (1997)</w:t>
      </w:r>
    </w:p>
    <w:p w14:paraId="00000073" w14:textId="77777777" w:rsidR="009E3573" w:rsidRPr="005A4E15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</w:p>
    <w:p w14:paraId="00000074" w14:textId="1662ADE0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lastRenderedPageBreak/>
        <w:t>13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  <w:lang w:val="es-ES"/>
        </w:rPr>
        <w:t>a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. semana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24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– 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26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)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s-ES"/>
        </w:rPr>
        <w:t>Aula 25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24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): </w:t>
      </w:r>
      <w:r w:rsidRPr="005A4E15">
        <w:rPr>
          <w:rFonts w:ascii="Times New Roman" w:eastAsia="Times New Roman" w:hAnsi="Times New Roman" w:cs="Times New Roman"/>
          <w:sz w:val="24"/>
          <w:szCs w:val="24"/>
          <w:highlight w:val="white"/>
          <w:lang w:val="es-ES"/>
        </w:rPr>
        <w:t>Luce (1997)</w:t>
      </w:r>
    </w:p>
    <w:p w14:paraId="00000075" w14:textId="60F02914" w:rsidR="009E3573" w:rsidRPr="005A4E1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ab/>
      </w:r>
      <w:r w:rsidRPr="005A4E15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  <w:lang w:val="es-ES"/>
        </w:rPr>
        <w:t>Aula 26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 (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26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/</w:t>
      </w:r>
      <w:r w:rsidR="008B69D4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>06</w:t>
      </w:r>
      <w:r w:rsidRPr="005A4E1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  <w:t xml:space="preserve">): </w:t>
      </w:r>
      <w:r w:rsidRPr="005A4E15">
        <w:rPr>
          <w:rFonts w:ascii="Times New Roman" w:eastAsia="Times New Roman" w:hAnsi="Times New Roman" w:cs="Times New Roman"/>
          <w:sz w:val="24"/>
          <w:szCs w:val="24"/>
          <w:highlight w:val="white"/>
          <w:lang w:val="es-ES"/>
        </w:rPr>
        <w:t>Luce (1997)</w:t>
      </w:r>
    </w:p>
    <w:p w14:paraId="00000076" w14:textId="77777777" w:rsidR="009E3573" w:rsidRPr="005A4E15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lang w:val="es-ES"/>
        </w:rPr>
      </w:pPr>
    </w:p>
    <w:p w14:paraId="00000077" w14:textId="4DFF44E3" w:rsidR="009E3573" w:rsidRPr="00D35C08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14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8B69D4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01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8B69D4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D35C08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27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01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Pr="00D35C08">
        <w:rPr>
          <w:rFonts w:ascii="Times New Roman" w:eastAsia="Times New Roman" w:hAnsi="Times New Roman" w:cs="Times New Roman"/>
          <w:sz w:val="24"/>
          <w:szCs w:val="24"/>
          <w:highlight w:val="white"/>
        </w:rPr>
        <w:t>Zagorin (2005)</w:t>
      </w:r>
    </w:p>
    <w:p w14:paraId="00000078" w14:textId="27E21775" w:rsidR="009E3573" w:rsidRPr="00D35C08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D35C08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28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8B69D4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03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8B69D4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Pr="00D35C08">
        <w:rPr>
          <w:rFonts w:ascii="Times New Roman" w:eastAsia="Times New Roman" w:hAnsi="Times New Roman" w:cs="Times New Roman"/>
          <w:sz w:val="24"/>
          <w:szCs w:val="24"/>
          <w:highlight w:val="white"/>
        </w:rPr>
        <w:t>Zagorin (2005)</w:t>
      </w:r>
    </w:p>
    <w:p w14:paraId="00000079" w14:textId="77777777" w:rsidR="009E3573" w:rsidRPr="00D35C08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7A" w14:textId="4F8F23AA" w:rsidR="009E3573" w:rsidRPr="00D35C08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15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B57805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08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B57805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B57805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10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B57805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D35C08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 xml:space="preserve">Aula 29 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(</w:t>
      </w:r>
      <w:r w:rsidR="00B57805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08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B57805"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Pr="00D35C08">
        <w:rPr>
          <w:rFonts w:ascii="Times New Roman" w:eastAsia="Times New Roman" w:hAnsi="Times New Roman" w:cs="Times New Roman"/>
          <w:sz w:val="24"/>
          <w:szCs w:val="24"/>
          <w:highlight w:val="white"/>
        </w:rPr>
        <w:t>Zagorin (2005)</w:t>
      </w:r>
    </w:p>
    <w:p w14:paraId="0000007B" w14:textId="076EAC10" w:rsidR="009E3573" w:rsidRPr="00B57805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D35C08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 w:rsidRPr="00B57805"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30</w:t>
      </w:r>
      <w:r w:rsidRP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</w:t>
      </w:r>
      <w:r w:rsidR="00B57805" w:rsidRP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10</w:t>
      </w:r>
      <w:r w:rsidRP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B57805" w:rsidRP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 w:rsidRP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): </w:t>
      </w:r>
      <w:r w:rsidRPr="00B57805">
        <w:rPr>
          <w:rFonts w:ascii="Times New Roman" w:eastAsia="Times New Roman" w:hAnsi="Times New Roman" w:cs="Times New Roman"/>
          <w:sz w:val="24"/>
          <w:szCs w:val="24"/>
          <w:highlight w:val="white"/>
        </w:rPr>
        <w:t>Erbse (2010); Gray (2010)</w:t>
      </w:r>
    </w:p>
    <w:p w14:paraId="0000007C" w14:textId="77777777" w:rsidR="009E3573" w:rsidRPr="00B57805" w:rsidRDefault="009E357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</w:p>
    <w:p w14:paraId="0000007D" w14:textId="7A767FC5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16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  <w:vertAlign w:val="superscript"/>
        </w:rPr>
        <w:t>a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. semana (</w:t>
      </w:r>
      <w:r w:rsid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15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– </w:t>
      </w:r>
      <w:r w:rsid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17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/</w:t>
      </w:r>
      <w:r w:rsidR="00B57805"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07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>)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31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(13/02): Conclusão do curso</w:t>
      </w:r>
    </w:p>
    <w:p w14:paraId="0000007E" w14:textId="77777777" w:rsidR="009E3573" w:rsidRDefault="006A6CC3">
      <w:pPr>
        <w:spacing w:line="360" w:lineRule="auto"/>
        <w:ind w:left="284" w:hanging="142"/>
        <w:jc w:val="both"/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ab/>
      </w:r>
      <w:r>
        <w:rPr>
          <w:rFonts w:ascii="Times New Roman" w:eastAsia="Times New Roman" w:hAnsi="Times New Roman" w:cs="Times New Roman"/>
          <w:b/>
          <w:color w:val="0C0D0E"/>
          <w:sz w:val="24"/>
          <w:szCs w:val="24"/>
          <w:highlight w:val="white"/>
        </w:rPr>
        <w:t>Aula 32</w:t>
      </w:r>
      <w:r>
        <w:rPr>
          <w:rFonts w:ascii="Times New Roman" w:eastAsia="Times New Roman" w:hAnsi="Times New Roman" w:cs="Times New Roman"/>
          <w:color w:val="0C0D0E"/>
          <w:sz w:val="24"/>
          <w:szCs w:val="24"/>
          <w:highlight w:val="white"/>
        </w:rPr>
        <w:t xml:space="preserve"> (18/02): Prova 02</w:t>
      </w:r>
    </w:p>
    <w:sectPr w:rsidR="009E357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B7B1A" w14:textId="77777777" w:rsidR="00922778" w:rsidRDefault="00922778">
      <w:pPr>
        <w:spacing w:line="240" w:lineRule="auto"/>
      </w:pPr>
      <w:r>
        <w:separator/>
      </w:r>
    </w:p>
  </w:endnote>
  <w:endnote w:type="continuationSeparator" w:id="0">
    <w:p w14:paraId="4F7F9D5E" w14:textId="77777777" w:rsidR="00922778" w:rsidRDefault="009227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3" w14:textId="77777777" w:rsidR="009E3573" w:rsidRDefault="009E35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4" w14:textId="58EAC489" w:rsidR="009E3573" w:rsidRDefault="006A6CC3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5A4E15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5" w14:textId="77777777" w:rsidR="009E3573" w:rsidRDefault="009E35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3DAFF1" w14:textId="77777777" w:rsidR="00922778" w:rsidRDefault="00922778">
      <w:pPr>
        <w:spacing w:line="240" w:lineRule="auto"/>
      </w:pPr>
      <w:r>
        <w:separator/>
      </w:r>
    </w:p>
  </w:footnote>
  <w:footnote w:type="continuationSeparator" w:id="0">
    <w:p w14:paraId="6C0E1A9B" w14:textId="77777777" w:rsidR="00922778" w:rsidRDefault="009227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7F" w14:textId="77777777" w:rsidR="009E3573" w:rsidRDefault="009E35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0" w14:textId="77777777" w:rsidR="009E3573" w:rsidRDefault="006A6CC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História Antiga 1 </w:t>
    </w:r>
    <w:r>
      <w:rPr>
        <w:color w:val="0C0D0E"/>
        <w:sz w:val="16"/>
        <w:szCs w:val="16"/>
        <w:highlight w:val="white"/>
      </w:rPr>
      <w:t>–</w:t>
    </w:r>
    <w:r>
      <w:rPr>
        <w:color w:val="000000"/>
        <w:sz w:val="16"/>
        <w:szCs w:val="16"/>
      </w:rPr>
      <w:t xml:space="preserve"> Os gregos antigos</w:t>
    </w:r>
    <w:r>
      <w:rPr>
        <w:color w:val="000000"/>
        <w:sz w:val="16"/>
        <w:szCs w:val="16"/>
      </w:rPr>
      <w:tab/>
    </w:r>
    <w:r>
      <w:rPr>
        <w:color w:val="000000"/>
        <w:sz w:val="16"/>
        <w:szCs w:val="16"/>
      </w:rPr>
      <w:tab/>
      <w:t>Prof. Vicente Dobroruka</w:t>
    </w:r>
  </w:p>
  <w:p w14:paraId="00000081" w14:textId="77777777" w:rsidR="009E3573" w:rsidRDefault="009E357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82" w14:textId="77777777" w:rsidR="009E3573" w:rsidRDefault="009E357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573"/>
    <w:rsid w:val="0047382F"/>
    <w:rsid w:val="005A4E15"/>
    <w:rsid w:val="006A6CC3"/>
    <w:rsid w:val="008B69D4"/>
    <w:rsid w:val="00922778"/>
    <w:rsid w:val="009E3573"/>
    <w:rsid w:val="00B57805"/>
    <w:rsid w:val="00D3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9AC7"/>
  <w15:docId w15:val="{5CA1D572-3E34-4FAA-A55D-94925780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seus.tufts.edu/hoppe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erseus.tufts.edu/hopper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mailto:vicente@unb.br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://www.livius.org/category/greec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loebclassics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1221</Words>
  <Characters>6966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Vicente Carlos Rodrigues Alvarez Dobroruka</cp:lastModifiedBy>
  <cp:revision>5</cp:revision>
  <dcterms:created xsi:type="dcterms:W3CDTF">2025-02-01T14:43:00Z</dcterms:created>
  <dcterms:modified xsi:type="dcterms:W3CDTF">2025-02-03T16:30:00Z</dcterms:modified>
</cp:coreProperties>
</file>